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FAFF" w14:textId="77777777" w:rsidR="00FE557F" w:rsidRPr="00D64E11" w:rsidRDefault="00FE557F" w:rsidP="00C60A12">
      <w:pPr>
        <w:pStyle w:val="NoSpacing"/>
      </w:pPr>
    </w:p>
    <w:p w14:paraId="4FA4ACAD" w14:textId="77777777" w:rsidR="00C60A12" w:rsidRPr="00660989" w:rsidRDefault="00C60A12" w:rsidP="00660989">
      <w:pPr>
        <w:pStyle w:val="NoSpacing"/>
        <w:jc w:val="both"/>
        <w:rPr>
          <w:rFonts w:ascii="Arial" w:hAnsi="Arial" w:cs="Arial"/>
        </w:rPr>
      </w:pPr>
    </w:p>
    <w:p w14:paraId="7B8150D8" w14:textId="721DD421" w:rsidR="00C60A12" w:rsidRPr="00660989" w:rsidRDefault="00C60A12" w:rsidP="00660989">
      <w:pPr>
        <w:pStyle w:val="NoSpacing"/>
        <w:jc w:val="center"/>
        <w:rPr>
          <w:rFonts w:ascii="Arial" w:hAnsi="Arial" w:cs="Arial"/>
          <w:b/>
          <w:color w:val="0000CC"/>
        </w:rPr>
      </w:pPr>
      <w:r w:rsidRPr="00660989">
        <w:rPr>
          <w:rFonts w:ascii="Arial" w:hAnsi="Arial" w:cs="Arial"/>
          <w:b/>
          <w:color w:val="0000CC"/>
        </w:rPr>
        <w:t xml:space="preserve">PRESS RELEASE - MHK Report on </w:t>
      </w:r>
      <w:r w:rsidR="00B27F61">
        <w:rPr>
          <w:rFonts w:ascii="Arial" w:hAnsi="Arial" w:cs="Arial"/>
          <w:b/>
          <w:color w:val="0000CC"/>
        </w:rPr>
        <w:t>Non-</w:t>
      </w:r>
      <w:r w:rsidR="00367380">
        <w:rPr>
          <w:rFonts w:ascii="Arial" w:hAnsi="Arial" w:cs="Arial"/>
          <w:b/>
          <w:color w:val="0000CC"/>
        </w:rPr>
        <w:t>Deductibility of Management Fees</w:t>
      </w:r>
    </w:p>
    <w:p w14:paraId="2B07732B" w14:textId="77777777" w:rsidR="00C60A12" w:rsidRPr="00660989" w:rsidRDefault="00C60A12" w:rsidP="00660989">
      <w:pPr>
        <w:pStyle w:val="NoSpacing"/>
        <w:jc w:val="both"/>
        <w:rPr>
          <w:rFonts w:ascii="Arial" w:hAnsi="Arial" w:cs="Arial"/>
        </w:rPr>
      </w:pPr>
    </w:p>
    <w:p w14:paraId="57DA0678" w14:textId="77777777" w:rsidR="00C60A12" w:rsidRPr="00660989" w:rsidRDefault="00C60A12" w:rsidP="00660989">
      <w:pPr>
        <w:pStyle w:val="NoSpacing"/>
        <w:jc w:val="both"/>
        <w:rPr>
          <w:rFonts w:ascii="Arial" w:hAnsi="Arial" w:cs="Arial"/>
        </w:rPr>
      </w:pPr>
    </w:p>
    <w:p w14:paraId="62371F3B" w14:textId="3EA1E3CD" w:rsidR="00C60A12" w:rsidRPr="00660989" w:rsidRDefault="00367380" w:rsidP="00BF431C">
      <w:pPr>
        <w:pStyle w:val="NoSpacing"/>
        <w:jc w:val="both"/>
        <w:rPr>
          <w:rFonts w:ascii="Arial" w:hAnsi="Arial" w:cs="Arial"/>
        </w:rPr>
      </w:pPr>
      <w:r>
        <w:rPr>
          <w:rFonts w:ascii="Arial" w:hAnsi="Arial" w:cs="Arial"/>
        </w:rPr>
        <w:t xml:space="preserve">A </w:t>
      </w:r>
      <w:r w:rsidR="00B17AB9">
        <w:rPr>
          <w:rFonts w:ascii="Arial" w:hAnsi="Arial" w:cs="Arial"/>
        </w:rPr>
        <w:t>2017</w:t>
      </w:r>
      <w:r>
        <w:rPr>
          <w:rFonts w:ascii="Arial" w:hAnsi="Arial" w:cs="Arial"/>
        </w:rPr>
        <w:t xml:space="preserve"> case has considered if Management Fees charged by a related entity were deductible or not.  This case</w:t>
      </w:r>
      <w:r w:rsidR="00C12B63">
        <w:rPr>
          <w:rFonts w:ascii="Arial" w:hAnsi="Arial" w:cs="Arial"/>
        </w:rPr>
        <w:t>,</w:t>
      </w:r>
      <w:r>
        <w:rPr>
          <w:rFonts w:ascii="Arial" w:hAnsi="Arial" w:cs="Arial"/>
        </w:rPr>
        <w:t xml:space="preserve"> </w:t>
      </w:r>
      <w:r w:rsidRPr="00C12B63">
        <w:rPr>
          <w:rFonts w:ascii="Arial" w:hAnsi="Arial" w:cs="Arial"/>
        </w:rPr>
        <w:t>Honk Land Trustees Ltd v CIR</w:t>
      </w:r>
      <w:r w:rsidR="00C12B63">
        <w:rPr>
          <w:rFonts w:ascii="Arial" w:hAnsi="Arial" w:cs="Arial"/>
        </w:rPr>
        <w:t>,</w:t>
      </w:r>
      <w:r w:rsidRPr="00C12B63">
        <w:rPr>
          <w:rFonts w:ascii="Arial" w:hAnsi="Arial" w:cs="Arial"/>
        </w:rPr>
        <w:t xml:space="preserve"> </w:t>
      </w:r>
      <w:r>
        <w:rPr>
          <w:rFonts w:ascii="Arial" w:hAnsi="Arial" w:cs="Arial"/>
        </w:rPr>
        <w:t>was escalated to the Court of Appeal, and won by the IRD, the Management Fees claimed were determined to be non-deductible.</w:t>
      </w:r>
    </w:p>
    <w:p w14:paraId="7622E713" w14:textId="77777777" w:rsidR="00AD0BF2" w:rsidRPr="00660989" w:rsidRDefault="00AD0BF2" w:rsidP="00BF431C">
      <w:pPr>
        <w:pStyle w:val="NoSpacing"/>
        <w:jc w:val="both"/>
        <w:rPr>
          <w:rFonts w:ascii="Arial" w:hAnsi="Arial" w:cs="Arial"/>
        </w:rPr>
      </w:pPr>
    </w:p>
    <w:p w14:paraId="34C9A1FC" w14:textId="11622966" w:rsidR="00367380" w:rsidRPr="00C12B63" w:rsidRDefault="00C60A12" w:rsidP="00BF431C">
      <w:pPr>
        <w:pStyle w:val="NoSpacing"/>
        <w:jc w:val="both"/>
        <w:rPr>
          <w:rFonts w:ascii="Arial" w:hAnsi="Arial" w:cs="Arial"/>
        </w:rPr>
      </w:pPr>
      <w:r w:rsidRPr="00660989">
        <w:rPr>
          <w:rFonts w:ascii="Arial" w:hAnsi="Arial" w:cs="Arial"/>
        </w:rPr>
        <w:t xml:space="preserve">Ian Malcolm, Managing Director of MHK Chartered Accountants Auckland, </w:t>
      </w:r>
      <w:r w:rsidR="00B17AB9">
        <w:rPr>
          <w:rFonts w:ascii="Arial" w:hAnsi="Arial" w:cs="Arial"/>
        </w:rPr>
        <w:t>comments</w:t>
      </w:r>
      <w:r w:rsidR="00FF3D69" w:rsidRPr="00660989">
        <w:rPr>
          <w:rFonts w:ascii="Arial" w:hAnsi="Arial" w:cs="Arial"/>
        </w:rPr>
        <w:t xml:space="preserve"> that</w:t>
      </w:r>
      <w:r w:rsidR="00367380">
        <w:rPr>
          <w:rFonts w:ascii="Arial" w:hAnsi="Arial" w:cs="Arial"/>
        </w:rPr>
        <w:t xml:space="preserve"> it is often assumed that cross-entity charges can be made to minimise tax within a Group of related taxpayers</w:t>
      </w:r>
      <w:r w:rsidR="00C12B63">
        <w:rPr>
          <w:rFonts w:ascii="Arial" w:hAnsi="Arial" w:cs="Arial"/>
        </w:rPr>
        <w:t>.  H</w:t>
      </w:r>
      <w:r w:rsidR="00367380">
        <w:rPr>
          <w:rFonts w:ascii="Arial" w:hAnsi="Arial" w:cs="Arial"/>
        </w:rPr>
        <w:t>owever that is not the case, unless these are validly incurred.</w:t>
      </w:r>
      <w:r w:rsidR="00367380" w:rsidRPr="00C12B63">
        <w:rPr>
          <w:rFonts w:ascii="Arial" w:hAnsi="Arial" w:cs="Arial"/>
        </w:rPr>
        <w:t xml:space="preserve"> </w:t>
      </w:r>
    </w:p>
    <w:p w14:paraId="6A0ADB63" w14:textId="6DD5E0D9" w:rsidR="00367380" w:rsidRPr="00C12B63" w:rsidRDefault="00367380" w:rsidP="00BF431C">
      <w:pPr>
        <w:pStyle w:val="hp"/>
        <w:jc w:val="both"/>
        <w:rPr>
          <w:rFonts w:ascii="Arial" w:eastAsiaTheme="minorEastAsia" w:hAnsi="Arial" w:cs="Arial"/>
        </w:rPr>
      </w:pPr>
      <w:r w:rsidRPr="00C12B63">
        <w:rPr>
          <w:rFonts w:ascii="Arial" w:eastAsiaTheme="minorEastAsia" w:hAnsi="Arial" w:cs="Arial"/>
        </w:rPr>
        <w:t xml:space="preserve">In this case, a Trust earned considerable income </w:t>
      </w:r>
      <w:r w:rsidR="00C12B63">
        <w:rPr>
          <w:rFonts w:ascii="Arial" w:eastAsiaTheme="minorEastAsia" w:hAnsi="Arial" w:cs="Arial"/>
        </w:rPr>
        <w:t xml:space="preserve">including </w:t>
      </w:r>
      <w:r w:rsidRPr="00C12B63">
        <w:rPr>
          <w:rFonts w:ascii="Arial" w:eastAsiaTheme="minorEastAsia" w:hAnsi="Arial" w:cs="Arial"/>
        </w:rPr>
        <w:t>from commercial rentals</w:t>
      </w:r>
      <w:r w:rsidR="00C12B63">
        <w:rPr>
          <w:rFonts w:ascii="Arial" w:eastAsiaTheme="minorEastAsia" w:hAnsi="Arial" w:cs="Arial"/>
        </w:rPr>
        <w:t>, and a</w:t>
      </w:r>
      <w:r w:rsidRPr="00C12B63">
        <w:rPr>
          <w:rFonts w:ascii="Arial" w:eastAsiaTheme="minorEastAsia" w:hAnsi="Arial" w:cs="Arial"/>
        </w:rPr>
        <w:t xml:space="preserve"> related company had tax losses.</w:t>
      </w:r>
    </w:p>
    <w:p w14:paraId="3D8F6624" w14:textId="00E64CC1" w:rsidR="00367380" w:rsidRPr="00C12B63" w:rsidRDefault="00C12B63" w:rsidP="00BF431C">
      <w:pPr>
        <w:pStyle w:val="hp"/>
        <w:jc w:val="both"/>
        <w:rPr>
          <w:rFonts w:ascii="Arial" w:eastAsiaTheme="minorEastAsia" w:hAnsi="Arial" w:cs="Arial"/>
        </w:rPr>
      </w:pPr>
      <w:r>
        <w:rPr>
          <w:rFonts w:ascii="Arial" w:eastAsiaTheme="minorEastAsia" w:hAnsi="Arial" w:cs="Arial"/>
        </w:rPr>
        <w:t>M</w:t>
      </w:r>
      <w:r w:rsidR="00367380" w:rsidRPr="00C12B63">
        <w:rPr>
          <w:rFonts w:ascii="Arial" w:eastAsiaTheme="minorEastAsia" w:hAnsi="Arial" w:cs="Arial"/>
        </w:rPr>
        <w:t xml:space="preserve">anagement fees totalling $1,152,824 </w:t>
      </w:r>
      <w:r>
        <w:rPr>
          <w:rFonts w:ascii="Arial" w:eastAsiaTheme="minorEastAsia" w:hAnsi="Arial" w:cs="Arial"/>
        </w:rPr>
        <w:t xml:space="preserve">were charged to the Trust </w:t>
      </w:r>
      <w:r w:rsidR="00B17AB9" w:rsidRPr="00C12B63">
        <w:rPr>
          <w:rFonts w:ascii="Arial" w:eastAsiaTheme="minorEastAsia" w:hAnsi="Arial" w:cs="Arial"/>
        </w:rPr>
        <w:t>from two different related companies</w:t>
      </w:r>
      <w:r w:rsidR="0021529B">
        <w:rPr>
          <w:rFonts w:ascii="Arial" w:eastAsiaTheme="minorEastAsia" w:hAnsi="Arial" w:cs="Arial"/>
        </w:rPr>
        <w:t xml:space="preserve">. </w:t>
      </w:r>
      <w:r w:rsidR="00367380" w:rsidRPr="00C12B63">
        <w:rPr>
          <w:rFonts w:ascii="Arial" w:eastAsiaTheme="minorEastAsia" w:hAnsi="Arial" w:cs="Arial"/>
        </w:rPr>
        <w:t xml:space="preserve">The income tax effect </w:t>
      </w:r>
      <w:r w:rsidRPr="00C12B63">
        <w:rPr>
          <w:rFonts w:ascii="Arial" w:eastAsiaTheme="minorEastAsia" w:hAnsi="Arial" w:cs="Arial"/>
        </w:rPr>
        <w:t>was that</w:t>
      </w:r>
      <w:r w:rsidR="00367380" w:rsidRPr="00C12B63">
        <w:rPr>
          <w:rFonts w:ascii="Arial" w:eastAsiaTheme="minorEastAsia" w:hAnsi="Arial" w:cs="Arial"/>
        </w:rPr>
        <w:t xml:space="preserve"> the Trust had no tax to pay</w:t>
      </w:r>
      <w:r>
        <w:rPr>
          <w:rFonts w:ascii="Arial" w:eastAsiaTheme="minorEastAsia" w:hAnsi="Arial" w:cs="Arial"/>
        </w:rPr>
        <w:t>, nor did one of the companies</w:t>
      </w:r>
      <w:r w:rsidR="00367380" w:rsidRPr="00C12B63">
        <w:rPr>
          <w:rFonts w:ascii="Arial" w:eastAsiaTheme="minorEastAsia" w:hAnsi="Arial" w:cs="Arial"/>
        </w:rPr>
        <w:t xml:space="preserve">. </w:t>
      </w:r>
    </w:p>
    <w:p w14:paraId="1F742366" w14:textId="57459270" w:rsidR="00C12B63" w:rsidRPr="00C12B63" w:rsidRDefault="00367380" w:rsidP="00BF431C">
      <w:pPr>
        <w:pStyle w:val="hp"/>
        <w:jc w:val="both"/>
        <w:rPr>
          <w:rFonts w:ascii="Arial" w:eastAsiaTheme="minorEastAsia" w:hAnsi="Arial" w:cs="Arial"/>
        </w:rPr>
      </w:pPr>
      <w:r w:rsidRPr="00C12B63">
        <w:rPr>
          <w:rFonts w:ascii="Arial" w:eastAsiaTheme="minorEastAsia" w:hAnsi="Arial" w:cs="Arial"/>
        </w:rPr>
        <w:t xml:space="preserve">The management fees were fixed by reference to </w:t>
      </w:r>
      <w:r w:rsidR="00C12B63" w:rsidRPr="00C12B63">
        <w:rPr>
          <w:rFonts w:ascii="Arial" w:eastAsiaTheme="minorEastAsia" w:hAnsi="Arial" w:cs="Arial"/>
        </w:rPr>
        <w:t>the Trust’s</w:t>
      </w:r>
      <w:r w:rsidRPr="00C12B63">
        <w:rPr>
          <w:rFonts w:ascii="Arial" w:eastAsiaTheme="minorEastAsia" w:hAnsi="Arial" w:cs="Arial"/>
        </w:rPr>
        <w:t xml:space="preserve"> taxable income and for the purpose of eliminating its liability for tax in that year. There was no satisfactory evidence </w:t>
      </w:r>
      <w:r w:rsidR="0021529B">
        <w:rPr>
          <w:rFonts w:ascii="Arial" w:eastAsiaTheme="minorEastAsia" w:hAnsi="Arial" w:cs="Arial"/>
        </w:rPr>
        <w:t xml:space="preserve">available </w:t>
      </w:r>
      <w:r w:rsidRPr="00C12B63">
        <w:rPr>
          <w:rFonts w:ascii="Arial" w:eastAsiaTheme="minorEastAsia" w:hAnsi="Arial" w:cs="Arial"/>
        </w:rPr>
        <w:t>to support the claim that management services were provided</w:t>
      </w:r>
      <w:r w:rsidR="00C12B63" w:rsidRPr="00C12B63">
        <w:rPr>
          <w:rFonts w:ascii="Arial" w:eastAsiaTheme="minorEastAsia" w:hAnsi="Arial" w:cs="Arial"/>
        </w:rPr>
        <w:t xml:space="preserve">, and </w:t>
      </w:r>
      <w:r w:rsidR="00FF0520">
        <w:rPr>
          <w:rFonts w:ascii="Arial" w:eastAsiaTheme="minorEastAsia" w:hAnsi="Arial" w:cs="Arial"/>
        </w:rPr>
        <w:t xml:space="preserve">accordingly </w:t>
      </w:r>
      <w:r w:rsidRPr="00C12B63">
        <w:rPr>
          <w:rFonts w:ascii="Arial" w:eastAsiaTheme="minorEastAsia" w:hAnsi="Arial" w:cs="Arial"/>
        </w:rPr>
        <w:t>there was insufficient proof of the required nexus.</w:t>
      </w:r>
      <w:r w:rsidR="00FF0520">
        <w:rPr>
          <w:rFonts w:ascii="Arial" w:eastAsiaTheme="minorEastAsia" w:hAnsi="Arial" w:cs="Arial"/>
        </w:rPr>
        <w:t xml:space="preserve">  The expense claim in the Trust was disallowed.</w:t>
      </w:r>
      <w:r w:rsidRPr="00C12B63">
        <w:rPr>
          <w:rFonts w:ascii="Arial" w:eastAsiaTheme="minorEastAsia" w:hAnsi="Arial" w:cs="Arial"/>
        </w:rPr>
        <w:t xml:space="preserve"> </w:t>
      </w:r>
    </w:p>
    <w:p w14:paraId="20FF1BCB" w14:textId="46656F1F" w:rsidR="00367380" w:rsidRPr="00C12B63" w:rsidRDefault="00C12B63" w:rsidP="00BF431C">
      <w:pPr>
        <w:pStyle w:val="hp"/>
        <w:jc w:val="both"/>
        <w:rPr>
          <w:rFonts w:ascii="Arial" w:eastAsiaTheme="minorEastAsia" w:hAnsi="Arial" w:cs="Arial"/>
        </w:rPr>
      </w:pPr>
      <w:r w:rsidRPr="00C12B63">
        <w:rPr>
          <w:rFonts w:ascii="Arial" w:eastAsiaTheme="minorEastAsia" w:hAnsi="Arial" w:cs="Arial"/>
        </w:rPr>
        <w:t>Mr Malcolm noted that t</w:t>
      </w:r>
      <w:r w:rsidR="00367380" w:rsidRPr="00C12B63">
        <w:rPr>
          <w:rFonts w:ascii="Arial" w:eastAsiaTheme="minorEastAsia" w:hAnsi="Arial" w:cs="Arial"/>
        </w:rPr>
        <w:t xml:space="preserve">hose findings were inevitable </w:t>
      </w:r>
      <w:r w:rsidR="00FF0520">
        <w:rPr>
          <w:rFonts w:ascii="Arial" w:eastAsiaTheme="minorEastAsia" w:hAnsi="Arial" w:cs="Arial"/>
        </w:rPr>
        <w:t>as</w:t>
      </w:r>
      <w:r w:rsidR="00367380" w:rsidRPr="00C12B63">
        <w:rPr>
          <w:rFonts w:ascii="Arial" w:eastAsiaTheme="minorEastAsia" w:hAnsi="Arial" w:cs="Arial"/>
        </w:rPr>
        <w:t xml:space="preserve"> there was insufficient proof that management services were </w:t>
      </w:r>
      <w:r w:rsidRPr="00C12B63">
        <w:rPr>
          <w:rFonts w:ascii="Arial" w:eastAsiaTheme="minorEastAsia" w:hAnsi="Arial" w:cs="Arial"/>
        </w:rPr>
        <w:t xml:space="preserve">actually </w:t>
      </w:r>
      <w:r w:rsidR="00367380" w:rsidRPr="00C12B63">
        <w:rPr>
          <w:rFonts w:ascii="Arial" w:eastAsiaTheme="minorEastAsia" w:hAnsi="Arial" w:cs="Arial"/>
        </w:rPr>
        <w:t>provided</w:t>
      </w:r>
      <w:r w:rsidRPr="00C12B63">
        <w:rPr>
          <w:rFonts w:ascii="Arial" w:eastAsiaTheme="minorEastAsia" w:hAnsi="Arial" w:cs="Arial"/>
        </w:rPr>
        <w:t>, and the</w:t>
      </w:r>
      <w:r w:rsidR="00367380" w:rsidRPr="00C12B63">
        <w:rPr>
          <w:rFonts w:ascii="Arial" w:eastAsiaTheme="minorEastAsia" w:hAnsi="Arial" w:cs="Arial"/>
        </w:rPr>
        <w:t xml:space="preserve"> evidence </w:t>
      </w:r>
      <w:r w:rsidR="00FF0520">
        <w:rPr>
          <w:rFonts w:ascii="Arial" w:eastAsiaTheme="minorEastAsia" w:hAnsi="Arial" w:cs="Arial"/>
        </w:rPr>
        <w:t xml:space="preserve">provided </w:t>
      </w:r>
      <w:r w:rsidR="00367380" w:rsidRPr="00C12B63">
        <w:rPr>
          <w:rFonts w:ascii="Arial" w:eastAsiaTheme="minorEastAsia" w:hAnsi="Arial" w:cs="Arial"/>
        </w:rPr>
        <w:t>fell well short of even a modest degree of precision</w:t>
      </w:r>
      <w:r w:rsidR="00FF0520">
        <w:rPr>
          <w:rFonts w:ascii="Arial" w:eastAsiaTheme="minorEastAsia" w:hAnsi="Arial" w:cs="Arial"/>
        </w:rPr>
        <w:t xml:space="preserve">, </w:t>
      </w:r>
      <w:r w:rsidR="00367380" w:rsidRPr="00C12B63">
        <w:rPr>
          <w:rFonts w:ascii="Arial" w:eastAsiaTheme="minorEastAsia" w:hAnsi="Arial" w:cs="Arial"/>
        </w:rPr>
        <w:t xml:space="preserve">the management fees were fixed and charged were contrived and artificial. They were clearly made for the purpose of eliminating the income tax otherwise payable and this was the entire purpose and effect of the arrangement. </w:t>
      </w:r>
    </w:p>
    <w:p w14:paraId="20E52A55" w14:textId="5B76692A" w:rsidR="00367380" w:rsidRPr="00C12B63" w:rsidRDefault="00367380" w:rsidP="00BF431C">
      <w:pPr>
        <w:pStyle w:val="hp"/>
        <w:jc w:val="both"/>
        <w:rPr>
          <w:rFonts w:ascii="Arial" w:eastAsiaTheme="minorEastAsia" w:hAnsi="Arial" w:cs="Arial"/>
        </w:rPr>
      </w:pPr>
      <w:r w:rsidRPr="00C12B63">
        <w:rPr>
          <w:rFonts w:ascii="Arial" w:eastAsiaTheme="minorEastAsia" w:hAnsi="Arial" w:cs="Arial"/>
        </w:rPr>
        <w:t>The tax avoidance purpose or effect was more than merely incidental</w:t>
      </w:r>
      <w:r w:rsidR="00C12B63" w:rsidRPr="00C12B63">
        <w:rPr>
          <w:rFonts w:ascii="Arial" w:eastAsiaTheme="minorEastAsia" w:hAnsi="Arial" w:cs="Arial"/>
        </w:rPr>
        <w:t xml:space="preserve">, </w:t>
      </w:r>
      <w:r w:rsidRPr="00C12B63">
        <w:rPr>
          <w:rFonts w:ascii="Arial" w:eastAsiaTheme="minorEastAsia" w:hAnsi="Arial" w:cs="Arial"/>
        </w:rPr>
        <w:t>th</w:t>
      </w:r>
      <w:r w:rsidR="00C12B63" w:rsidRPr="00C12B63">
        <w:rPr>
          <w:rFonts w:ascii="Arial" w:eastAsiaTheme="minorEastAsia" w:hAnsi="Arial" w:cs="Arial"/>
        </w:rPr>
        <w:t>is</w:t>
      </w:r>
      <w:r w:rsidRPr="00C12B63">
        <w:rPr>
          <w:rFonts w:ascii="Arial" w:eastAsiaTheme="minorEastAsia" w:hAnsi="Arial" w:cs="Arial"/>
        </w:rPr>
        <w:t xml:space="preserve"> was a tax avoidance arrangement</w:t>
      </w:r>
      <w:r w:rsidR="00C12B63" w:rsidRPr="00C12B63">
        <w:rPr>
          <w:rFonts w:ascii="Arial" w:eastAsiaTheme="minorEastAsia" w:hAnsi="Arial" w:cs="Arial"/>
        </w:rPr>
        <w:t xml:space="preserve">, with </w:t>
      </w:r>
      <w:r w:rsidRPr="00C12B63">
        <w:rPr>
          <w:rFonts w:ascii="Arial" w:eastAsiaTheme="minorEastAsia" w:hAnsi="Arial" w:cs="Arial"/>
        </w:rPr>
        <w:t xml:space="preserve">the inevitable conclusion that </w:t>
      </w:r>
      <w:r w:rsidR="00C12B63" w:rsidRPr="00C12B63">
        <w:rPr>
          <w:rFonts w:ascii="Arial" w:eastAsiaTheme="minorEastAsia" w:hAnsi="Arial" w:cs="Arial"/>
        </w:rPr>
        <w:t>this was</w:t>
      </w:r>
      <w:r w:rsidRPr="00C12B63">
        <w:rPr>
          <w:rFonts w:ascii="Arial" w:eastAsiaTheme="minorEastAsia" w:hAnsi="Arial" w:cs="Arial"/>
        </w:rPr>
        <w:t xml:space="preserve"> an un</w:t>
      </w:r>
      <w:r w:rsidR="00C12B63" w:rsidRPr="00C12B63">
        <w:rPr>
          <w:rFonts w:ascii="Arial" w:eastAsiaTheme="minorEastAsia" w:hAnsi="Arial" w:cs="Arial"/>
        </w:rPr>
        <w:t xml:space="preserve">acceptable tax position </w:t>
      </w:r>
      <w:r w:rsidRPr="00C12B63">
        <w:rPr>
          <w:rFonts w:ascii="Arial" w:eastAsiaTheme="minorEastAsia" w:hAnsi="Arial" w:cs="Arial"/>
        </w:rPr>
        <w:t>with the dominant purpose of reducing or removing its tax liability</w:t>
      </w:r>
      <w:r w:rsidR="00FF0520">
        <w:rPr>
          <w:rFonts w:ascii="Arial" w:eastAsiaTheme="minorEastAsia" w:hAnsi="Arial" w:cs="Arial"/>
        </w:rPr>
        <w:t>, with heavy tax penalties as a result</w:t>
      </w:r>
      <w:r w:rsidRPr="00C12B63">
        <w:rPr>
          <w:rFonts w:ascii="Arial" w:eastAsiaTheme="minorEastAsia" w:hAnsi="Arial" w:cs="Arial"/>
        </w:rPr>
        <w:t xml:space="preserve">. </w:t>
      </w:r>
    </w:p>
    <w:p w14:paraId="0EC19C3B" w14:textId="19E8A6FA" w:rsidR="00C60A12" w:rsidRPr="00660989" w:rsidRDefault="00D75F91" w:rsidP="00BF431C">
      <w:pPr>
        <w:pStyle w:val="NoSpacing"/>
        <w:jc w:val="both"/>
        <w:rPr>
          <w:rFonts w:ascii="Arial" w:hAnsi="Arial" w:cs="Arial"/>
        </w:rPr>
      </w:pPr>
      <w:r w:rsidRPr="00660989">
        <w:rPr>
          <w:rFonts w:ascii="Arial" w:hAnsi="Arial" w:cs="Arial"/>
        </w:rPr>
        <w:t xml:space="preserve">Mr Malcolm warns that “Although this may seem a simple </w:t>
      </w:r>
      <w:r w:rsidR="00FF0520">
        <w:rPr>
          <w:rFonts w:ascii="Arial" w:hAnsi="Arial" w:cs="Arial"/>
        </w:rPr>
        <w:t>tax saving initiative</w:t>
      </w:r>
      <w:r w:rsidRPr="00660989">
        <w:rPr>
          <w:rFonts w:ascii="Arial" w:hAnsi="Arial" w:cs="Arial"/>
        </w:rPr>
        <w:t xml:space="preserve">, care must be taken </w:t>
      </w:r>
      <w:r w:rsidR="00FF0520">
        <w:rPr>
          <w:rFonts w:ascii="Arial" w:hAnsi="Arial" w:cs="Arial"/>
        </w:rPr>
        <w:t>at every step!”</w:t>
      </w:r>
    </w:p>
    <w:p w14:paraId="34933E41" w14:textId="77777777" w:rsidR="00C60A12" w:rsidRPr="00660989" w:rsidRDefault="00C60A12" w:rsidP="00BF431C">
      <w:pPr>
        <w:pStyle w:val="NoSpacing"/>
        <w:jc w:val="both"/>
        <w:rPr>
          <w:rFonts w:ascii="Arial" w:hAnsi="Arial" w:cs="Arial"/>
        </w:rPr>
      </w:pPr>
    </w:p>
    <w:p w14:paraId="08C0381B" w14:textId="0B55A186" w:rsidR="00C60A12" w:rsidRPr="00660989" w:rsidRDefault="00C60A12" w:rsidP="00BF431C">
      <w:pPr>
        <w:pStyle w:val="NoSpacing"/>
        <w:jc w:val="both"/>
        <w:rPr>
          <w:rFonts w:ascii="Arial" w:hAnsi="Arial" w:cs="Arial"/>
        </w:rPr>
      </w:pPr>
      <w:r w:rsidRPr="00660989">
        <w:rPr>
          <w:rFonts w:ascii="Arial" w:hAnsi="Arial" w:cs="Arial"/>
        </w:rPr>
        <w:t xml:space="preserve">MHK Chartered Accountants are fringe CBD Auckland Chartered Accountants who specialise in business structuring and legally minimising all types of taxation obligations, and welcome a no-obligation discussion free of charge.  For more information please </w:t>
      </w:r>
      <w:bookmarkStart w:id="0" w:name="_GoBack"/>
      <w:r w:rsidRPr="00660989">
        <w:rPr>
          <w:rFonts w:ascii="Arial" w:hAnsi="Arial" w:cs="Arial"/>
        </w:rPr>
        <w:t xml:space="preserve">contact Ian Malcolm 09-917-2893 or 021456225, </w:t>
      </w:r>
      <w:r w:rsidR="00D75F91" w:rsidRPr="00660989">
        <w:rPr>
          <w:rFonts w:ascii="Arial" w:hAnsi="Arial" w:cs="Arial"/>
        </w:rPr>
        <w:t>or Aaron</w:t>
      </w:r>
      <w:r w:rsidRPr="00660989">
        <w:rPr>
          <w:rFonts w:ascii="Arial" w:hAnsi="Arial" w:cs="Arial"/>
        </w:rPr>
        <w:t xml:space="preserve"> Neels 09-917-2897. For more </w:t>
      </w:r>
      <w:bookmarkEnd w:id="0"/>
      <w:r w:rsidRPr="00660989">
        <w:rPr>
          <w:rFonts w:ascii="Arial" w:hAnsi="Arial" w:cs="Arial"/>
        </w:rPr>
        <w:t xml:space="preserve">information on </w:t>
      </w:r>
      <w:r w:rsidR="00925EB5">
        <w:rPr>
          <w:rFonts w:ascii="Arial" w:hAnsi="Arial" w:cs="Arial"/>
        </w:rPr>
        <w:t xml:space="preserve">tax minimisation, </w:t>
      </w:r>
      <w:r w:rsidRPr="00925EB5">
        <w:rPr>
          <w:rFonts w:ascii="Arial" w:hAnsi="Arial" w:cs="Arial"/>
        </w:rPr>
        <w:t xml:space="preserve">chartered accountants Auckland, </w:t>
      </w:r>
      <w:r w:rsidR="00925EB5">
        <w:rPr>
          <w:rFonts w:ascii="Arial" w:hAnsi="Arial" w:cs="Arial"/>
        </w:rPr>
        <w:t xml:space="preserve">or </w:t>
      </w:r>
      <w:r w:rsidRPr="00925EB5">
        <w:rPr>
          <w:rFonts w:ascii="Arial" w:hAnsi="Arial" w:cs="Arial"/>
        </w:rPr>
        <w:t>business structuring</w:t>
      </w:r>
      <w:r w:rsidR="00925EB5">
        <w:rPr>
          <w:rFonts w:ascii="Arial" w:hAnsi="Arial" w:cs="Arial"/>
        </w:rPr>
        <w:t xml:space="preserve"> </w:t>
      </w:r>
      <w:r w:rsidRPr="00660989">
        <w:rPr>
          <w:rFonts w:ascii="Arial" w:hAnsi="Arial" w:cs="Arial"/>
        </w:rPr>
        <w:t>please go to</w:t>
      </w:r>
      <w:r w:rsidR="00925EB5">
        <w:rPr>
          <w:rFonts w:ascii="Arial" w:hAnsi="Arial" w:cs="Arial"/>
        </w:rPr>
        <w:t xml:space="preserve"> </w:t>
      </w:r>
      <w:hyperlink r:id="rId5" w:history="1">
        <w:r w:rsidR="006C1BA6" w:rsidRPr="00660989">
          <w:rPr>
            <w:rStyle w:val="Hyperlink"/>
            <w:rFonts w:ascii="Arial" w:hAnsi="Arial" w:cs="Arial"/>
          </w:rPr>
          <w:t>https://aucklandaccountant.net.nz/</w:t>
        </w:r>
      </w:hyperlink>
      <w:r w:rsidR="006C1BA6" w:rsidRPr="00660989">
        <w:rPr>
          <w:rFonts w:ascii="Arial" w:hAnsi="Arial" w:cs="Arial"/>
        </w:rPr>
        <w:t xml:space="preserve"> .</w:t>
      </w:r>
      <w:r w:rsidRPr="00660989">
        <w:rPr>
          <w:rFonts w:ascii="Arial" w:hAnsi="Arial" w:cs="Arial"/>
        </w:rPr>
        <w:t xml:space="preserve"> </w:t>
      </w:r>
    </w:p>
    <w:p w14:paraId="51350A05" w14:textId="77777777" w:rsidR="00C60A12" w:rsidRPr="00660989" w:rsidRDefault="00C60A12" w:rsidP="00BF431C">
      <w:pPr>
        <w:pStyle w:val="PlainText"/>
        <w:jc w:val="both"/>
        <w:rPr>
          <w:rFonts w:ascii="Arial" w:hAnsi="Arial" w:cs="Arial"/>
          <w:i/>
          <w:szCs w:val="22"/>
        </w:rPr>
      </w:pPr>
    </w:p>
    <w:p w14:paraId="7ACE5414" w14:textId="77777777" w:rsidR="00C60A12" w:rsidRPr="00D64E11" w:rsidRDefault="00C60A12" w:rsidP="00BF431C">
      <w:pPr>
        <w:jc w:val="both"/>
      </w:pPr>
    </w:p>
    <w:sectPr w:rsidR="00C60A12" w:rsidRPr="00D64E11" w:rsidSect="00660989">
      <w:pgSz w:w="11900" w:h="16840"/>
      <w:pgMar w:top="1304" w:right="1552" w:bottom="1440" w:left="164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2A77E4"/>
    <w:multiLevelType w:val="hybridMultilevel"/>
    <w:tmpl w:val="2D2095F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440D6C3C"/>
    <w:multiLevelType w:val="multilevel"/>
    <w:tmpl w:val="1DB4D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3B3563"/>
    <w:multiLevelType w:val="multilevel"/>
    <w:tmpl w:val="B6FC5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A12"/>
    <w:rsid w:val="001D39A0"/>
    <w:rsid w:val="0021529B"/>
    <w:rsid w:val="00367380"/>
    <w:rsid w:val="004D2E8F"/>
    <w:rsid w:val="00511217"/>
    <w:rsid w:val="005E199E"/>
    <w:rsid w:val="00604DB7"/>
    <w:rsid w:val="00660989"/>
    <w:rsid w:val="006C1BA6"/>
    <w:rsid w:val="00925EB5"/>
    <w:rsid w:val="00AD0BF2"/>
    <w:rsid w:val="00B17AB9"/>
    <w:rsid w:val="00B27F61"/>
    <w:rsid w:val="00BF431C"/>
    <w:rsid w:val="00C12B63"/>
    <w:rsid w:val="00C60A12"/>
    <w:rsid w:val="00D64E11"/>
    <w:rsid w:val="00D75F91"/>
    <w:rsid w:val="00DF08CB"/>
    <w:rsid w:val="00FE557F"/>
    <w:rsid w:val="00FF0520"/>
    <w:rsid w:val="00FF3D69"/>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CF4423"/>
  <w14:defaultImageDpi w14:val="300"/>
  <w15:docId w15:val="{9E724668-53B8-41C7-8C0A-AB47EAD13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NZ"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0A12"/>
    <w:pPr>
      <w:spacing w:after="200" w:line="276" w:lineRule="auto"/>
    </w:pPr>
    <w:rPr>
      <w:sz w:val="22"/>
      <w:szCs w:val="22"/>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0A12"/>
    <w:rPr>
      <w:color w:val="0000FF" w:themeColor="hyperlink"/>
      <w:u w:val="single"/>
    </w:rPr>
  </w:style>
  <w:style w:type="paragraph" w:styleId="NormalWeb">
    <w:name w:val="Normal (Web)"/>
    <w:basedOn w:val="Normal"/>
    <w:uiPriority w:val="99"/>
    <w:unhideWhenUsed/>
    <w:rsid w:val="00C60A12"/>
    <w:pPr>
      <w:spacing w:after="0" w:line="240" w:lineRule="auto"/>
    </w:pPr>
    <w:rPr>
      <w:rFonts w:ascii="Times New Roman" w:hAnsi="Times New Roman" w:cs="Times New Roman"/>
      <w:sz w:val="24"/>
      <w:szCs w:val="24"/>
    </w:rPr>
  </w:style>
  <w:style w:type="paragraph" w:styleId="PlainText">
    <w:name w:val="Plain Text"/>
    <w:basedOn w:val="Normal"/>
    <w:link w:val="PlainTextChar"/>
    <w:uiPriority w:val="99"/>
    <w:unhideWhenUsed/>
    <w:rsid w:val="00C60A12"/>
    <w:pPr>
      <w:spacing w:after="0" w:line="240" w:lineRule="auto"/>
    </w:pPr>
    <w:rPr>
      <w:rFonts w:ascii="Calibri" w:eastAsia="Times New Roman" w:hAnsi="Calibri" w:cs="Times New Roman"/>
      <w:szCs w:val="21"/>
    </w:rPr>
  </w:style>
  <w:style w:type="character" w:customStyle="1" w:styleId="PlainTextChar">
    <w:name w:val="Plain Text Char"/>
    <w:basedOn w:val="DefaultParagraphFont"/>
    <w:link w:val="PlainText"/>
    <w:uiPriority w:val="99"/>
    <w:rsid w:val="00C60A12"/>
    <w:rPr>
      <w:rFonts w:ascii="Calibri" w:eastAsia="Times New Roman" w:hAnsi="Calibri" w:cs="Times New Roman"/>
      <w:sz w:val="22"/>
      <w:szCs w:val="21"/>
      <w:lang w:eastAsia="en-NZ"/>
    </w:rPr>
  </w:style>
  <w:style w:type="paragraph" w:styleId="NoSpacing">
    <w:name w:val="No Spacing"/>
    <w:uiPriority w:val="1"/>
    <w:qFormat/>
    <w:rsid w:val="00C60A12"/>
    <w:rPr>
      <w:sz w:val="22"/>
      <w:szCs w:val="22"/>
      <w:lang w:eastAsia="en-NZ"/>
    </w:rPr>
  </w:style>
  <w:style w:type="paragraph" w:customStyle="1" w:styleId="Default">
    <w:name w:val="Default"/>
    <w:rsid w:val="00FF3D69"/>
    <w:pPr>
      <w:autoSpaceDE w:val="0"/>
      <w:autoSpaceDN w:val="0"/>
      <w:adjustRightInd w:val="0"/>
    </w:pPr>
    <w:rPr>
      <w:rFonts w:ascii="Verdana" w:hAnsi="Verdana" w:cs="Verdana"/>
      <w:color w:val="000000"/>
    </w:rPr>
  </w:style>
  <w:style w:type="paragraph" w:styleId="ListParagraph">
    <w:name w:val="List Paragraph"/>
    <w:basedOn w:val="Normal"/>
    <w:uiPriority w:val="34"/>
    <w:qFormat/>
    <w:rsid w:val="00511217"/>
    <w:pPr>
      <w:ind w:left="720"/>
      <w:contextualSpacing/>
    </w:pPr>
  </w:style>
  <w:style w:type="paragraph" w:customStyle="1" w:styleId="hp">
    <w:name w:val="hp"/>
    <w:basedOn w:val="Normal"/>
    <w:rsid w:val="00367380"/>
    <w:pPr>
      <w:spacing w:before="100" w:beforeAutospacing="1" w:after="100" w:afterAutospacing="1" w:line="240" w:lineRule="auto"/>
    </w:pPr>
    <w:rPr>
      <w:rFonts w:ascii="Calibri" w:eastAsiaTheme="minorHAnsi" w:hAnsi="Calibri" w:cs="Calibri"/>
    </w:rPr>
  </w:style>
  <w:style w:type="character" w:customStyle="1" w:styleId="link">
    <w:name w:val="link"/>
    <w:basedOn w:val="DefaultParagraphFont"/>
    <w:rsid w:val="00367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059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ucklandaccountant.net.n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Pureseo</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 Gardiner</dc:creator>
  <cp:lastModifiedBy>Barbara Stronach</cp:lastModifiedBy>
  <cp:revision>8</cp:revision>
  <dcterms:created xsi:type="dcterms:W3CDTF">2018-01-29T20:00:00Z</dcterms:created>
  <dcterms:modified xsi:type="dcterms:W3CDTF">2018-03-13T02:18:00Z</dcterms:modified>
</cp:coreProperties>
</file>